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2" w:rsidRPr="006400D2" w:rsidRDefault="006400D2" w:rsidP="006400D2">
      <w:pPr>
        <w:spacing w:after="1" w:line="22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sz w:val="28"/>
          <w:szCs w:val="28"/>
        </w:rPr>
        <w:t>Т</w:t>
      </w:r>
      <w:r w:rsidRPr="006400D2">
        <w:rPr>
          <w:rFonts w:ascii="Times New Roman" w:hAnsi="Times New Roman" w:cs="Times New Roman"/>
          <w:b/>
          <w:sz w:val="28"/>
          <w:szCs w:val="28"/>
        </w:rPr>
        <w:t>ЕХНИЧЕСКОЕ РЕГУЛИРОВАНИЕ</w:t>
      </w:r>
    </w:p>
    <w:p w:rsidR="006400D2" w:rsidRPr="006400D2" w:rsidRDefault="006400D2" w:rsidP="006400D2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0D2" w:rsidRPr="006400D2" w:rsidRDefault="006400D2" w:rsidP="006400D2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b/>
          <w:sz w:val="28"/>
          <w:szCs w:val="28"/>
        </w:rPr>
        <w:t>Скорректирован технический регламент Таможенного союза "О безопасности молока и молочной продукции" (</w:t>
      </w:r>
      <w:proofErr w:type="gramStart"/>
      <w:r w:rsidRPr="006400D2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6400D2">
        <w:rPr>
          <w:rFonts w:ascii="Times New Roman" w:hAnsi="Times New Roman" w:cs="Times New Roman"/>
          <w:b/>
          <w:sz w:val="28"/>
          <w:szCs w:val="28"/>
        </w:rPr>
        <w:t xml:space="preserve"> ТС 033/2013)</w:t>
      </w:r>
    </w:p>
    <w:p w:rsidR="006400D2" w:rsidRPr="006400D2" w:rsidRDefault="006400D2" w:rsidP="006400D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sz w:val="28"/>
          <w:szCs w:val="28"/>
        </w:rPr>
        <w:t>Уточняется понятийный аппарат.</w:t>
      </w:r>
    </w:p>
    <w:p w:rsidR="006400D2" w:rsidRPr="006400D2" w:rsidRDefault="006400D2" w:rsidP="006400D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sz w:val="28"/>
          <w:szCs w:val="28"/>
        </w:rPr>
        <w:t>Уточняются идентификационные, физико-химические и микробиологические показатели отдельных видов молочной продукции.</w:t>
      </w:r>
    </w:p>
    <w:p w:rsidR="006400D2" w:rsidRPr="006400D2" w:rsidRDefault="006400D2" w:rsidP="006400D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sz w:val="28"/>
          <w:szCs w:val="28"/>
        </w:rPr>
        <w:t>Одновременно установлен порядок введения в действие указанных изменений в технический регламент.</w:t>
      </w:r>
    </w:p>
    <w:p w:rsidR="006400D2" w:rsidRPr="006400D2" w:rsidRDefault="006400D2" w:rsidP="006400D2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400D2">
        <w:rPr>
          <w:rFonts w:ascii="Times New Roman" w:hAnsi="Times New Roman" w:cs="Times New Roman"/>
          <w:sz w:val="28"/>
          <w:szCs w:val="28"/>
        </w:rPr>
        <w:t>(Решение Совета Евразийской экономической комиссии от 23.09.2022 N 143, Решение Коллегии Евразийской экономической комиссии от 14.03.2023 N 34)</w:t>
      </w:r>
    </w:p>
    <w:p w:rsidR="006400D2" w:rsidRPr="006400D2" w:rsidRDefault="006400D2" w:rsidP="006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0D2" w:rsidRPr="006400D2" w:rsidRDefault="006400D2" w:rsidP="006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D2">
        <w:rPr>
          <w:rFonts w:ascii="Times New Roman" w:hAnsi="Times New Roman" w:cs="Times New Roman"/>
          <w:b/>
          <w:sz w:val="28"/>
          <w:szCs w:val="28"/>
        </w:rPr>
        <w:t>Начало действия редакции - 22.09.2023.</w:t>
      </w:r>
    </w:p>
    <w:p w:rsidR="00000000" w:rsidRPr="006400D2" w:rsidRDefault="006400D2" w:rsidP="006400D2">
      <w:pPr>
        <w:rPr>
          <w:rFonts w:ascii="Times New Roman" w:hAnsi="Times New Roman" w:cs="Times New Roman"/>
          <w:sz w:val="28"/>
          <w:szCs w:val="28"/>
        </w:rPr>
      </w:pPr>
      <w:hyperlink r:id="rId4"/>
      <w:r w:rsidRPr="0064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0D2" w:rsidRPr="006400D2" w:rsidRDefault="006400D2">
      <w:pPr>
        <w:rPr>
          <w:rFonts w:ascii="Times New Roman" w:hAnsi="Times New Roman" w:cs="Times New Roman"/>
          <w:sz w:val="28"/>
          <w:szCs w:val="28"/>
        </w:rPr>
      </w:pPr>
    </w:p>
    <w:sectPr w:rsidR="006400D2" w:rsidRPr="0064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0D2"/>
    <w:rsid w:val="006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AE12744AACC646BD4A0C738C6CAD2BF1FA807EBC94911D84DF3EF787EE5C5AC2E31BC339B23F7A298918BC84FDD98F930980E393A09509GB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2023-08-02T07:12:00Z</dcterms:created>
  <dcterms:modified xsi:type="dcterms:W3CDTF">2023-08-02T07:13:00Z</dcterms:modified>
</cp:coreProperties>
</file>